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AB4CCB">
        <w:rPr>
          <w:b/>
          <w:sz w:val="24"/>
          <w:szCs w:val="24"/>
        </w:rPr>
        <w:t xml:space="preserve">  </w:t>
      </w:r>
      <w:r w:rsidR="00AB4CCB">
        <w:rPr>
          <w:sz w:val="24"/>
          <w:szCs w:val="24"/>
        </w:rPr>
        <w:t>Settle</w:t>
      </w:r>
      <w:r>
        <w:rPr>
          <w:b/>
          <w:sz w:val="24"/>
          <w:szCs w:val="24"/>
        </w:rPr>
        <w:t xml:space="preserve"> </w:t>
      </w:r>
    </w:p>
    <w:p w:rsidR="00C1109B" w:rsidRDefault="00CD432F" w:rsidP="00CD432F">
      <w:pPr>
        <w:rPr>
          <w:sz w:val="24"/>
          <w:szCs w:val="24"/>
        </w:rPr>
      </w:pPr>
      <w:r>
        <w:rPr>
          <w:b/>
          <w:sz w:val="24"/>
          <w:szCs w:val="24"/>
        </w:rPr>
        <w:t xml:space="preserve">Site Number and Address: </w:t>
      </w:r>
      <w:r w:rsidR="00AB4CCB">
        <w:rPr>
          <w:sz w:val="24"/>
          <w:szCs w:val="24"/>
        </w:rPr>
        <w:t xml:space="preserve"> SG027; South of Ingfield Lane, east of Brockhole View</w:t>
      </w:r>
      <w:r w:rsidRPr="00CD432F">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AB4CCB">
      <w:pPr>
        <w:rPr>
          <w:b/>
          <w:i/>
        </w:rPr>
      </w:pPr>
      <w:r w:rsidRPr="00AB4CCB">
        <w:rPr>
          <w:noProof/>
          <w:lang w:eastAsia="en-GB"/>
        </w:rPr>
        <w:drawing>
          <wp:inline distT="0" distB="0" distL="0" distR="0" wp14:anchorId="0737CAFA" wp14:editId="02729D02">
            <wp:extent cx="8863330" cy="77891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778914"/>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21C52">
        <w:t xml:space="preserve">eferred Sites list for </w:t>
      </w:r>
      <w:r w:rsidR="00AB4CCB">
        <w:t>Settle</w:t>
      </w:r>
      <w:r>
        <w:t>, subject to Stage 2 analysis below, and also a possible comparison of the site’s merits with oth</w:t>
      </w:r>
      <w:r w:rsidR="00B21C52">
        <w:t xml:space="preserve">er sustainable sites in </w:t>
      </w:r>
      <w:r w:rsidR="00AB4CCB">
        <w:t>Settle</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AB4CCB"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in a designated rural area, and is likely to deliver 6 or more dwellings. A financial contribution towards affordable housing is </w:t>
            </w:r>
            <w:r w:rsidRPr="00CD432F">
              <w:lastRenderedPageBreak/>
              <w:t>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AB4CCB"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AB4CCB" w:rsidP="00B21C52">
            <w:pPr>
              <w:jc w:val="center"/>
              <w:rPr>
                <w:b/>
              </w:rPr>
            </w:pPr>
            <w:r>
              <w:rPr>
                <w:b/>
              </w:rPr>
              <w:t>South-east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AB4CCB"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CD432F" w:rsidP="00B21C52">
            <w:pPr>
              <w:jc w:val="center"/>
              <w:rPr>
                <w:b/>
              </w:rPr>
            </w:pP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AB4CCB"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AB4CCB" w:rsidRDefault="00C1109B" w:rsidP="00AB4CCB">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AB4CCB">
        <w:t>Settle</w:t>
      </w:r>
      <w:r w:rsidR="00486081">
        <w:t>, the site is</w:t>
      </w:r>
      <w:r w:rsidR="00F62E2A">
        <w:t xml:space="preserve"> </w:t>
      </w:r>
      <w:r w:rsidR="00502134">
        <w:t xml:space="preserve">considered </w:t>
      </w:r>
      <w:r w:rsidR="00F62E2A">
        <w:t xml:space="preserve">suitable as one of the </w:t>
      </w:r>
      <w:r w:rsidR="00F62E2A" w:rsidRPr="00F62E2A">
        <w:rPr>
          <w:b/>
        </w:rPr>
        <w:t>Preferred Sites</w:t>
      </w:r>
      <w:r w:rsidR="00E22A10">
        <w:t xml:space="preserve"> in this settlement</w:t>
      </w:r>
      <w:r w:rsidR="00F62E2A">
        <w:t>.</w:t>
      </w:r>
      <w:r w:rsidR="00486081">
        <w:t xml:space="preserve"> </w:t>
      </w:r>
    </w:p>
    <w:p w:rsidR="00F62E2A" w:rsidRPr="00776515" w:rsidRDefault="00776515" w:rsidP="00AB4CCB">
      <w:pPr>
        <w:jc w:val="both"/>
        <w:rPr>
          <w:b/>
          <w:sz w:val="24"/>
          <w:szCs w:val="24"/>
          <w:u w:val="single"/>
        </w:rPr>
      </w:pPr>
      <w:r w:rsidRPr="00776515">
        <w:rPr>
          <w:b/>
          <w:sz w:val="24"/>
          <w:szCs w:val="24"/>
          <w:u w:val="single"/>
        </w:rPr>
        <w:lastRenderedPageBreak/>
        <w:t xml:space="preserve">Narrative of Site Analysis </w:t>
      </w:r>
    </w:p>
    <w:p w:rsidR="007C4CD1" w:rsidRDefault="00B21C52" w:rsidP="00834C80">
      <w:pPr>
        <w:jc w:val="both"/>
      </w:pPr>
      <w:r>
        <w:t xml:space="preserve">Site </w:t>
      </w:r>
      <w:r w:rsidR="00AB4CCB">
        <w:t>SG027</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w:t>
      </w:r>
      <w:r w:rsidR="00AB4CCB" w:rsidRPr="00AB4CCB">
        <w:t>The site</w:t>
      </w:r>
      <w:r w:rsidR="00AF40B8">
        <w:t xml:space="preserve">, </w:t>
      </w:r>
      <w:r w:rsidR="00AF40B8" w:rsidRPr="00C3146D">
        <w:t>considered jointly with SG068 which is under the same ownership,</w:t>
      </w:r>
      <w:r w:rsidR="00AB4CCB" w:rsidRPr="00AB4CCB">
        <w:t xml:space="preserve"> is situated directly to the south</w:t>
      </w:r>
      <w:r w:rsidR="00AB4CCB">
        <w:t>-east</w:t>
      </w:r>
      <w:r w:rsidR="00AB4CCB" w:rsidRPr="00AB4CCB">
        <w:t xml:space="preserve"> of the town’s built up area, which allows easy access to the town’s services, and hence improving connectivity and reducing the need for travel. The site has an existing, safe access with good sightlines available. </w:t>
      </w:r>
      <w:r w:rsidR="0047425C">
        <w:t>The site also performs satisfactorily regarding the District level analysis.</w:t>
      </w:r>
    </w:p>
    <w:p w:rsidR="00FB5FE1" w:rsidRPr="00FB5FE1" w:rsidRDefault="00FB5FE1" w:rsidP="00FB5FE1">
      <w:pPr>
        <w:rPr>
          <w:rFonts w:cstheme="minorHAnsi"/>
        </w:rPr>
      </w:pPr>
      <w:r w:rsidRPr="00FB5FE1">
        <w:rPr>
          <w:rFonts w:eastAsia="Calibri"/>
        </w:rPr>
        <w:t>An assessment of the site’s archaeological interest will be required with appropriate mitigation incorporated into development proposals where necessary.</w:t>
      </w:r>
    </w:p>
    <w:p w:rsidR="00F2287F" w:rsidRDefault="00FD7D81" w:rsidP="00834C80">
      <w:pPr>
        <w:jc w:val="both"/>
      </w:pPr>
      <w:r>
        <w:t xml:space="preserve">A green infrastructure </w:t>
      </w:r>
      <w:r w:rsidR="00725AE9">
        <w:t>area</w:t>
      </w:r>
      <w:r>
        <w:t xml:space="preserve"> will extend up from SG068 into the western section of SG027 as landscape mitigation against the nearby YDNP</w:t>
      </w:r>
      <w:r w:rsidR="0097511E">
        <w:t xml:space="preserve"> and the adjacent</w:t>
      </w:r>
      <w:r w:rsidR="00725AE9">
        <w:t xml:space="preserve"> PROW</w:t>
      </w:r>
      <w:r w:rsidR="0097511E">
        <w:t xml:space="preserve"> to the west</w:t>
      </w:r>
      <w:r w:rsidR="000F30F7">
        <w:t xml:space="preserve">, and recreation </w:t>
      </w:r>
      <w:r w:rsidR="000F30F7" w:rsidRPr="000F30F7">
        <w:t>mitigation for the Ingleborough Complex Special Area of Conservation (SAC) and Craven Limestone Complex Special Area of Conservation (SAC).</w:t>
      </w:r>
      <w:r w:rsidR="000F30F7">
        <w:t xml:space="preserve">  </w:t>
      </w:r>
      <w:r w:rsidR="007C4CD1">
        <w:t>Otherwise, t</w:t>
      </w:r>
      <w:r w:rsidR="00F2287F">
        <w:t xml:space="preserve">he </w:t>
      </w:r>
      <w:r>
        <w:t>majority</w:t>
      </w:r>
      <w:r w:rsidR="00F2287F">
        <w:t xml:space="preserve"> of the site area submitted to the SHLAA database can be utilised. </w:t>
      </w:r>
    </w:p>
    <w:p w:rsidR="00834C80" w:rsidRDefault="00725AE9">
      <w:pPr>
        <w:rPr>
          <w:b/>
        </w:rPr>
      </w:pPr>
      <w:r>
        <w:rPr>
          <w:b/>
          <w:i/>
        </w:rPr>
        <w:t>Approximate Site</w:t>
      </w:r>
      <w:r w:rsidR="00C1109B" w:rsidRPr="007C4CD1">
        <w:rPr>
          <w:b/>
          <w:i/>
        </w:rPr>
        <w:t xml:space="preserve"> Area</w:t>
      </w:r>
      <w:r w:rsidR="00764ECF">
        <w:rPr>
          <w:b/>
          <w:i/>
        </w:rPr>
        <w:t xml:space="preserve"> for SG027</w:t>
      </w:r>
      <w:r w:rsidR="00C1109B" w:rsidRPr="007C4CD1">
        <w:rPr>
          <w:b/>
          <w:i/>
        </w:rPr>
        <w:t>:</w:t>
      </w:r>
      <w:r w:rsidR="00C1109B">
        <w:rPr>
          <w:b/>
        </w:rPr>
        <w:t xml:space="preserve"> </w:t>
      </w:r>
      <w:r w:rsidR="00834C80" w:rsidRPr="00834C80">
        <w:t>0.</w:t>
      </w:r>
      <w:r>
        <w:t>5</w:t>
      </w:r>
      <w:r w:rsidR="00FD7D81">
        <w:t xml:space="preserve"> hectares (majority</w:t>
      </w:r>
      <w:r w:rsidR="00834C80" w:rsidRPr="00834C80">
        <w:t xml:space="preserve"> of available SHLAA site)</w:t>
      </w:r>
      <w:bookmarkStart w:id="0" w:name="_GoBack"/>
      <w:bookmarkEnd w:id="0"/>
    </w:p>
    <w:p w:rsidR="00725AE9" w:rsidRDefault="00725AE9">
      <w:pPr>
        <w:rPr>
          <w:rFonts w:cstheme="minorHAnsi"/>
        </w:rPr>
      </w:pPr>
      <w:r>
        <w:rPr>
          <w:rFonts w:cstheme="minorHAnsi"/>
          <w:b/>
          <w:i/>
        </w:rPr>
        <w:t xml:space="preserve">Approximate </w:t>
      </w:r>
      <w:r w:rsidR="00834C80" w:rsidRPr="00AB4CCB">
        <w:rPr>
          <w:rFonts w:cstheme="minorHAnsi"/>
          <w:b/>
          <w:i/>
        </w:rPr>
        <w:t xml:space="preserve">Number of </w:t>
      </w:r>
      <w:r>
        <w:rPr>
          <w:rFonts w:cstheme="minorHAnsi"/>
          <w:b/>
          <w:i/>
        </w:rPr>
        <w:t>Dwellings</w:t>
      </w:r>
      <w:r w:rsidR="00764ECF">
        <w:rPr>
          <w:rFonts w:cstheme="minorHAnsi"/>
          <w:b/>
          <w:i/>
        </w:rPr>
        <w:t xml:space="preserve"> for SG027</w:t>
      </w:r>
      <w:r>
        <w:rPr>
          <w:rFonts w:cstheme="minorHAnsi"/>
          <w:b/>
          <w:i/>
        </w:rPr>
        <w:t xml:space="preserve">: </w:t>
      </w:r>
      <w:r w:rsidR="00FD7D81">
        <w:rPr>
          <w:rFonts w:cstheme="minorHAnsi"/>
        </w:rPr>
        <w:t>16</w:t>
      </w:r>
      <w:r w:rsidR="00F2287F" w:rsidRPr="00AB4CCB">
        <w:rPr>
          <w:rFonts w:cstheme="minorHAnsi"/>
        </w:rPr>
        <w:t xml:space="preserve"> dwellings </w:t>
      </w:r>
    </w:p>
    <w:p w:rsidR="00764ECF" w:rsidRDefault="00764ECF" w:rsidP="00764ECF">
      <w:pPr>
        <w:rPr>
          <w:b/>
          <w:i/>
        </w:rPr>
      </w:pPr>
      <w:r>
        <w:rPr>
          <w:b/>
          <w:i/>
        </w:rPr>
        <w:t>Development Principles for SG027,</w:t>
      </w:r>
      <w:r w:rsidRPr="00764ECF">
        <w:rPr>
          <w:b/>
          <w:i/>
        </w:rPr>
        <w:t xml:space="preserve"> SG0</w:t>
      </w:r>
      <w:r>
        <w:rPr>
          <w:b/>
          <w:i/>
        </w:rPr>
        <w:t>68</w:t>
      </w:r>
      <w:r w:rsidRPr="00764ECF">
        <w:rPr>
          <w:b/>
          <w:i/>
        </w:rPr>
        <w:t xml:space="preserve"> (Total Approximate Site Area: </w:t>
      </w:r>
      <w:r>
        <w:rPr>
          <w:b/>
          <w:i/>
        </w:rPr>
        <w:t>2.6</w:t>
      </w:r>
      <w:r w:rsidRPr="00764ECF">
        <w:rPr>
          <w:b/>
          <w:i/>
        </w:rPr>
        <w:t xml:space="preserve"> ha.  Total App</w:t>
      </w:r>
      <w:r w:rsidR="00FB5FE1">
        <w:rPr>
          <w:b/>
          <w:i/>
        </w:rPr>
        <w:t>roximate Number of Dwellings: 57</w:t>
      </w:r>
      <w:r w:rsidRPr="00764ECF">
        <w:rPr>
          <w:b/>
          <w:i/>
        </w:rPr>
        <w:t xml:space="preserve">): </w:t>
      </w:r>
    </w:p>
    <w:p w:rsidR="00C3146D" w:rsidRDefault="00C3146D" w:rsidP="00C3146D">
      <w:pPr>
        <w:numPr>
          <w:ilvl w:val="0"/>
          <w:numId w:val="10"/>
        </w:numPr>
        <w:spacing w:before="120"/>
        <w:ind w:left="425" w:hanging="349"/>
        <w:contextualSpacing/>
        <w:rPr>
          <w:rFonts w:ascii="Arial" w:eastAsia="Calibri" w:hAnsi="Arial" w:cs="Arial"/>
          <w:sz w:val="20"/>
          <w:szCs w:val="20"/>
        </w:rPr>
      </w:pPr>
      <w:r w:rsidRPr="00EC197D">
        <w:rPr>
          <w:rFonts w:ascii="Arial" w:eastAsia="Calibri" w:hAnsi="Arial" w:cs="Arial"/>
          <w:sz w:val="20"/>
          <w:szCs w:val="20"/>
        </w:rPr>
        <w:t xml:space="preserve">This is a </w:t>
      </w:r>
      <w:proofErr w:type="gramStart"/>
      <w:r w:rsidRPr="00EC197D">
        <w:rPr>
          <w:rFonts w:ascii="Arial" w:eastAsia="Calibri" w:hAnsi="Arial" w:cs="Arial"/>
          <w:sz w:val="20"/>
          <w:szCs w:val="20"/>
        </w:rPr>
        <w:t>greenfield</w:t>
      </w:r>
      <w:proofErr w:type="gramEnd"/>
      <w:r w:rsidRPr="00EC197D">
        <w:rPr>
          <w:rFonts w:ascii="Arial" w:eastAsia="Calibri" w:hAnsi="Arial" w:cs="Arial"/>
          <w:sz w:val="20"/>
          <w:szCs w:val="20"/>
        </w:rPr>
        <w:t xml:space="preserve"> site in a prominent location on the edge of Settle. Development proposals for this site will incorporate landscape and recreation mitigation(s) including areas of green infrastructure of approximately 0.8 ha in the southern, western and eastern parts of the site and connecting to the approved ‘water meadows’ surface water management scheme to the west of the site. The provision of green infrastructure along the southern and eastern boundaries will protect the rural nature of </w:t>
      </w:r>
      <w:proofErr w:type="spellStart"/>
      <w:r w:rsidRPr="00EC197D">
        <w:rPr>
          <w:rFonts w:ascii="Arial" w:eastAsia="Calibri" w:hAnsi="Arial" w:cs="Arial"/>
          <w:sz w:val="20"/>
          <w:szCs w:val="20"/>
        </w:rPr>
        <w:t>Brockhole</w:t>
      </w:r>
      <w:proofErr w:type="spellEnd"/>
      <w:r w:rsidRPr="00EC197D">
        <w:rPr>
          <w:rFonts w:ascii="Arial" w:eastAsia="Calibri" w:hAnsi="Arial" w:cs="Arial"/>
          <w:sz w:val="20"/>
          <w:szCs w:val="20"/>
        </w:rPr>
        <w:t xml:space="preserve"> Lane and provide landscape mitigation for the Yorkshire Dales National Park by softening the built form including the planting of tree blocks of native species, and providing gaps between clusters of dwellings which will be front facing towards the YDNP. Dwelling heights will be restricted to two storeys in height. Existing dry stone boundary walls to be retained on site and new dry stone boundary walls to be created to enclose the southern and eastern boundaries of the site to respect the character of </w:t>
      </w:r>
      <w:proofErr w:type="spellStart"/>
      <w:r w:rsidRPr="00EC197D">
        <w:rPr>
          <w:rFonts w:ascii="Arial" w:eastAsia="Calibri" w:hAnsi="Arial" w:cs="Arial"/>
          <w:sz w:val="20"/>
          <w:szCs w:val="20"/>
        </w:rPr>
        <w:t>Brockhole</w:t>
      </w:r>
      <w:proofErr w:type="spellEnd"/>
      <w:r w:rsidRPr="00EC197D">
        <w:rPr>
          <w:rFonts w:ascii="Arial" w:eastAsia="Calibri" w:hAnsi="Arial" w:cs="Arial"/>
          <w:sz w:val="20"/>
          <w:szCs w:val="20"/>
        </w:rPr>
        <w:t xml:space="preserve"> Lane and surrounding fields.  The areas of green infrastructure will also deliver recreational walking opportunities aimed at relieving pressure on the </w:t>
      </w:r>
      <w:proofErr w:type="spellStart"/>
      <w:r w:rsidRPr="00EC197D">
        <w:rPr>
          <w:rFonts w:ascii="Arial" w:eastAsia="Calibri" w:hAnsi="Arial" w:cs="Arial"/>
          <w:sz w:val="20"/>
          <w:szCs w:val="20"/>
        </w:rPr>
        <w:t>Ingleborough</w:t>
      </w:r>
      <w:proofErr w:type="spellEnd"/>
      <w:r w:rsidRPr="00EC197D">
        <w:rPr>
          <w:rFonts w:ascii="Arial" w:eastAsia="Calibri" w:hAnsi="Arial" w:cs="Arial"/>
          <w:sz w:val="20"/>
          <w:szCs w:val="20"/>
        </w:rPr>
        <w:t xml:space="preserve"> Complex Special Area of Conservation (SAC) and Craven Limestone Complex Special Area of Conserva</w:t>
      </w:r>
      <w:r>
        <w:rPr>
          <w:rFonts w:ascii="Arial" w:eastAsia="Calibri" w:hAnsi="Arial" w:cs="Arial"/>
          <w:sz w:val="20"/>
          <w:szCs w:val="20"/>
        </w:rPr>
        <w:t>tion (SAC);</w:t>
      </w:r>
    </w:p>
    <w:p w:rsidR="00C3146D" w:rsidRPr="00EC197D" w:rsidRDefault="00C3146D" w:rsidP="00C3146D">
      <w:pPr>
        <w:spacing w:before="120"/>
        <w:ind w:left="425"/>
        <w:contextualSpacing/>
        <w:rPr>
          <w:rFonts w:ascii="Arial" w:eastAsia="Calibri" w:hAnsi="Arial" w:cs="Arial"/>
          <w:sz w:val="20"/>
          <w:szCs w:val="20"/>
        </w:rPr>
      </w:pPr>
    </w:p>
    <w:p w:rsidR="00C3146D" w:rsidRPr="00EC197D" w:rsidRDefault="00C3146D" w:rsidP="00C3146D">
      <w:pPr>
        <w:numPr>
          <w:ilvl w:val="0"/>
          <w:numId w:val="10"/>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ascii="Arial" w:eastAsia="Calibri" w:hAnsi="Arial" w:cs="Arial"/>
          <w:color w:val="000000"/>
          <w:sz w:val="20"/>
          <w:szCs w:val="20"/>
        </w:rPr>
        <w:t>appropriately reduced or offset;</w:t>
      </w:r>
    </w:p>
    <w:p w:rsidR="00C3146D" w:rsidRPr="00EC197D" w:rsidRDefault="00C3146D" w:rsidP="00C3146D">
      <w:pPr>
        <w:spacing w:before="120" w:after="120"/>
        <w:ind w:left="425" w:hanging="349"/>
        <w:contextualSpacing/>
        <w:rPr>
          <w:rFonts w:ascii="Arial" w:eastAsia="Calibri" w:hAnsi="Arial" w:cs="Arial"/>
          <w:color w:val="00B0F0"/>
          <w:sz w:val="20"/>
          <w:szCs w:val="20"/>
        </w:rPr>
      </w:pPr>
    </w:p>
    <w:p w:rsidR="00C3146D" w:rsidRPr="00EC197D" w:rsidRDefault="00C3146D" w:rsidP="00C3146D">
      <w:pPr>
        <w:numPr>
          <w:ilvl w:val="0"/>
          <w:numId w:val="10"/>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lastRenderedPageBreak/>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ascii="Arial" w:eastAsia="Calibri" w:hAnsi="Arial" w:cs="Arial"/>
          <w:color w:val="000000"/>
          <w:sz w:val="20"/>
          <w:szCs w:val="20"/>
        </w:rPr>
        <w:t>ncement effects are implemented;</w:t>
      </w:r>
    </w:p>
    <w:p w:rsidR="00C3146D" w:rsidRPr="00EC197D" w:rsidRDefault="00C3146D" w:rsidP="00C3146D">
      <w:pPr>
        <w:spacing w:before="120" w:after="120"/>
        <w:ind w:left="425" w:hanging="349"/>
        <w:contextualSpacing/>
        <w:rPr>
          <w:rFonts w:ascii="Arial" w:eastAsia="Calibri" w:hAnsi="Arial" w:cs="Arial"/>
          <w:color w:val="00B0F0"/>
          <w:sz w:val="20"/>
          <w:szCs w:val="20"/>
        </w:rPr>
      </w:pPr>
    </w:p>
    <w:p w:rsidR="00C3146D" w:rsidRPr="00EC197D" w:rsidRDefault="00C3146D" w:rsidP="00C3146D">
      <w:pPr>
        <w:numPr>
          <w:ilvl w:val="0"/>
          <w:numId w:val="10"/>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A hydrological investigation and bird survey in relation to impacts on River </w:t>
      </w:r>
      <w:proofErr w:type="spellStart"/>
      <w:r w:rsidRPr="00EC197D">
        <w:rPr>
          <w:rFonts w:ascii="Arial" w:eastAsia="Calibri" w:hAnsi="Arial" w:cs="Arial"/>
          <w:color w:val="000000"/>
          <w:sz w:val="20"/>
          <w:szCs w:val="20"/>
        </w:rPr>
        <w:t>Ribble</w:t>
      </w:r>
      <w:proofErr w:type="spellEnd"/>
      <w:r w:rsidRPr="00EC197D">
        <w:rPr>
          <w:rFonts w:ascii="Arial" w:eastAsia="Calibri" w:hAnsi="Arial" w:cs="Arial"/>
          <w:color w:val="000000"/>
          <w:sz w:val="20"/>
          <w:szCs w:val="20"/>
        </w:rPr>
        <w:t xml:space="preserve"> (Long </w:t>
      </w:r>
      <w:r>
        <w:rPr>
          <w:rFonts w:ascii="Arial" w:eastAsia="Calibri" w:hAnsi="Arial" w:cs="Arial"/>
          <w:color w:val="000000"/>
          <w:sz w:val="20"/>
          <w:szCs w:val="20"/>
        </w:rPr>
        <w:t>Preston Deeps SSSI) is required;</w:t>
      </w:r>
    </w:p>
    <w:p w:rsidR="00C3146D" w:rsidRPr="00EC197D" w:rsidRDefault="00C3146D" w:rsidP="00C3146D">
      <w:pPr>
        <w:ind w:left="425" w:hanging="349"/>
        <w:contextualSpacing/>
        <w:rPr>
          <w:rFonts w:ascii="Arial" w:eastAsia="Calibri" w:hAnsi="Arial" w:cs="Arial"/>
          <w:color w:val="000000"/>
          <w:sz w:val="20"/>
          <w:szCs w:val="20"/>
        </w:rPr>
      </w:pPr>
    </w:p>
    <w:p w:rsidR="00C3146D" w:rsidRPr="00EC197D" w:rsidRDefault="00C3146D" w:rsidP="00C3146D">
      <w:pPr>
        <w:numPr>
          <w:ilvl w:val="0"/>
          <w:numId w:val="10"/>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As the site is in a prominent location, development proposals will be carefully and sensitively designed to minimise visual impact on the character and appearance of the area, and include measures to minimise impacts on air qual</w:t>
      </w:r>
      <w:r>
        <w:rPr>
          <w:rFonts w:ascii="Arial" w:eastAsia="Calibri" w:hAnsi="Arial" w:cs="Arial"/>
          <w:color w:val="000000"/>
          <w:sz w:val="20"/>
          <w:szCs w:val="20"/>
        </w:rPr>
        <w:t>ity, noise and light pollution;</w:t>
      </w:r>
    </w:p>
    <w:p w:rsidR="00C3146D" w:rsidRPr="00EC197D" w:rsidRDefault="00C3146D" w:rsidP="00C3146D">
      <w:pPr>
        <w:ind w:left="425" w:hanging="349"/>
        <w:contextualSpacing/>
        <w:rPr>
          <w:rFonts w:ascii="Arial" w:eastAsia="Calibri" w:hAnsi="Arial" w:cs="Arial"/>
          <w:sz w:val="20"/>
          <w:szCs w:val="20"/>
        </w:rPr>
      </w:pPr>
    </w:p>
    <w:p w:rsidR="00C3146D" w:rsidRDefault="00C3146D" w:rsidP="00C3146D">
      <w:pPr>
        <w:numPr>
          <w:ilvl w:val="0"/>
          <w:numId w:val="10"/>
        </w:numPr>
        <w:spacing w:before="120"/>
        <w:ind w:left="425" w:hanging="349"/>
        <w:contextualSpacing/>
        <w:rPr>
          <w:rFonts w:ascii="Arial" w:eastAsia="Calibri" w:hAnsi="Arial" w:cs="Arial"/>
          <w:color w:val="000000"/>
          <w:sz w:val="20"/>
          <w:szCs w:val="20"/>
        </w:rPr>
      </w:pPr>
      <w:r w:rsidRPr="00EC197D">
        <w:rPr>
          <w:rFonts w:ascii="Arial" w:eastAsia="Calibri" w:hAnsi="Arial" w:cs="Arial"/>
          <w:sz w:val="20"/>
          <w:szCs w:val="20"/>
        </w:rPr>
        <w:t>An assessment of the site’s archaeological interest will be required with appropriate mitigation incorporated into development proposals where ne</w:t>
      </w:r>
      <w:r>
        <w:rPr>
          <w:rFonts w:ascii="Arial" w:eastAsia="Calibri" w:hAnsi="Arial" w:cs="Arial"/>
          <w:sz w:val="20"/>
          <w:szCs w:val="20"/>
        </w:rPr>
        <w:t>cessary;</w:t>
      </w:r>
    </w:p>
    <w:p w:rsidR="00C3146D" w:rsidRPr="00C3146D" w:rsidRDefault="00C3146D" w:rsidP="00C3146D">
      <w:pPr>
        <w:spacing w:before="120"/>
        <w:contextualSpacing/>
        <w:rPr>
          <w:rFonts w:ascii="Arial" w:eastAsia="Calibri" w:hAnsi="Arial" w:cs="Arial"/>
          <w:color w:val="000000"/>
          <w:sz w:val="20"/>
          <w:szCs w:val="20"/>
        </w:rPr>
      </w:pPr>
    </w:p>
    <w:p w:rsidR="00C3146D" w:rsidRPr="00EC197D" w:rsidRDefault="00C3146D" w:rsidP="00C3146D">
      <w:pPr>
        <w:numPr>
          <w:ilvl w:val="0"/>
          <w:numId w:val="10"/>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sz w:val="20"/>
          <w:szCs w:val="20"/>
        </w:rPr>
        <w:t>A surface water flood risk hazard has been identified within the southern part of the site.  Development proposals must therefore be supported by a Flood Risk Assessment and drainage strategy which has informed the design, layout and landscaping of the site. Proposals</w:t>
      </w:r>
      <w:r w:rsidRPr="00EC197D">
        <w:rPr>
          <w:rFonts w:ascii="Arial" w:eastAsia="Calibri" w:hAnsi="Arial" w:cs="Arial"/>
          <w:sz w:val="20"/>
          <w:szCs w:val="20"/>
          <w:u w:val="single"/>
        </w:rPr>
        <w:t xml:space="preserve"> </w:t>
      </w:r>
      <w:r w:rsidRPr="00EC197D">
        <w:rPr>
          <w:rFonts w:ascii="Arial" w:eastAsia="Calibri" w:hAnsi="Arial" w:cs="Arial"/>
          <w:sz w:val="20"/>
          <w:szCs w:val="20"/>
        </w:rPr>
        <w:t>will incorporate Sustainable Drainage</w:t>
      </w:r>
      <w:r>
        <w:rPr>
          <w:rFonts w:ascii="Arial" w:eastAsia="Calibri" w:hAnsi="Arial" w:cs="Arial"/>
          <w:sz w:val="20"/>
          <w:szCs w:val="20"/>
        </w:rPr>
        <w:t xml:space="preserve"> Systems (</w:t>
      </w:r>
      <w:proofErr w:type="spellStart"/>
      <w:r>
        <w:rPr>
          <w:rFonts w:ascii="Arial" w:eastAsia="Calibri" w:hAnsi="Arial" w:cs="Arial"/>
          <w:sz w:val="20"/>
          <w:szCs w:val="20"/>
        </w:rPr>
        <w:t>SuDS</w:t>
      </w:r>
      <w:proofErr w:type="spellEnd"/>
      <w:r>
        <w:rPr>
          <w:rFonts w:ascii="Arial" w:eastAsia="Calibri" w:hAnsi="Arial" w:cs="Arial"/>
          <w:sz w:val="20"/>
          <w:szCs w:val="20"/>
        </w:rPr>
        <w:t>), where possible;</w:t>
      </w:r>
    </w:p>
    <w:p w:rsidR="00C3146D" w:rsidRPr="00EC197D" w:rsidRDefault="00C3146D" w:rsidP="00C3146D">
      <w:pPr>
        <w:ind w:left="425" w:hanging="349"/>
        <w:contextualSpacing/>
        <w:rPr>
          <w:rFonts w:ascii="Arial" w:eastAsia="Calibri" w:hAnsi="Arial" w:cs="Arial"/>
          <w:color w:val="000000"/>
          <w:sz w:val="20"/>
          <w:szCs w:val="20"/>
        </w:rPr>
      </w:pPr>
    </w:p>
    <w:p w:rsidR="00C3146D" w:rsidRPr="00EC197D" w:rsidRDefault="00C3146D" w:rsidP="00C3146D">
      <w:pPr>
        <w:numPr>
          <w:ilvl w:val="0"/>
          <w:numId w:val="10"/>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Development to protect the rural nature of the PROW along the western and</w:t>
      </w:r>
      <w:r>
        <w:rPr>
          <w:rFonts w:ascii="Arial" w:eastAsia="Calibri" w:hAnsi="Arial" w:cs="Arial"/>
          <w:color w:val="000000"/>
          <w:sz w:val="20"/>
          <w:szCs w:val="20"/>
        </w:rPr>
        <w:t xml:space="preserve"> eastern boundaries of the site;</w:t>
      </w:r>
    </w:p>
    <w:p w:rsidR="00C3146D" w:rsidRPr="00EC197D" w:rsidRDefault="00C3146D" w:rsidP="00C3146D">
      <w:pPr>
        <w:spacing w:before="120" w:after="120"/>
        <w:ind w:left="425" w:hanging="349"/>
        <w:contextualSpacing/>
        <w:rPr>
          <w:rFonts w:ascii="Arial" w:eastAsia="Calibri" w:hAnsi="Arial" w:cs="Arial"/>
          <w:color w:val="000000"/>
          <w:sz w:val="20"/>
          <w:szCs w:val="20"/>
        </w:rPr>
      </w:pPr>
    </w:p>
    <w:p w:rsidR="00C3146D" w:rsidRPr="00EC197D" w:rsidRDefault="00C3146D" w:rsidP="00C3146D">
      <w:pPr>
        <w:numPr>
          <w:ilvl w:val="0"/>
          <w:numId w:val="10"/>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Access to the site is to be gained from </w:t>
      </w:r>
      <w:proofErr w:type="spellStart"/>
      <w:r w:rsidRPr="00EC197D">
        <w:rPr>
          <w:rFonts w:ascii="Arial" w:eastAsia="Calibri" w:hAnsi="Arial" w:cs="Arial"/>
          <w:color w:val="000000"/>
          <w:sz w:val="20"/>
          <w:szCs w:val="20"/>
        </w:rPr>
        <w:t>Brockhole</w:t>
      </w:r>
      <w:proofErr w:type="spellEnd"/>
      <w:r w:rsidRPr="00EC197D">
        <w:rPr>
          <w:rFonts w:ascii="Arial" w:eastAsia="Calibri" w:hAnsi="Arial" w:cs="Arial"/>
          <w:color w:val="000000"/>
          <w:sz w:val="20"/>
          <w:szCs w:val="20"/>
        </w:rPr>
        <w:t xml:space="preserve"> View </w:t>
      </w:r>
      <w:r>
        <w:rPr>
          <w:rFonts w:ascii="Arial" w:eastAsia="Calibri" w:hAnsi="Arial" w:cs="Arial"/>
          <w:color w:val="000000"/>
          <w:sz w:val="20"/>
          <w:szCs w:val="20"/>
        </w:rPr>
        <w:t xml:space="preserve">and </w:t>
      </w:r>
      <w:proofErr w:type="spellStart"/>
      <w:r>
        <w:rPr>
          <w:rFonts w:ascii="Arial" w:eastAsia="Calibri" w:hAnsi="Arial" w:cs="Arial"/>
          <w:color w:val="000000"/>
          <w:sz w:val="20"/>
          <w:szCs w:val="20"/>
        </w:rPr>
        <w:t>Brockhole</w:t>
      </w:r>
      <w:proofErr w:type="spellEnd"/>
      <w:r>
        <w:rPr>
          <w:rFonts w:ascii="Arial" w:eastAsia="Calibri" w:hAnsi="Arial" w:cs="Arial"/>
          <w:color w:val="000000"/>
          <w:sz w:val="20"/>
          <w:szCs w:val="20"/>
        </w:rPr>
        <w:t xml:space="preserve"> Lane;</w:t>
      </w:r>
    </w:p>
    <w:p w:rsidR="00C3146D" w:rsidRPr="00EC197D" w:rsidRDefault="00C3146D" w:rsidP="00C3146D">
      <w:pPr>
        <w:spacing w:before="120" w:after="120"/>
        <w:ind w:left="425" w:hanging="349"/>
        <w:contextualSpacing/>
        <w:rPr>
          <w:rFonts w:ascii="Arial" w:eastAsia="Calibri" w:hAnsi="Arial" w:cs="Arial"/>
          <w:color w:val="000000"/>
          <w:sz w:val="20"/>
          <w:szCs w:val="20"/>
        </w:rPr>
      </w:pPr>
    </w:p>
    <w:p w:rsidR="00C3146D" w:rsidRPr="00EC197D" w:rsidRDefault="00C3146D" w:rsidP="00C3146D">
      <w:pPr>
        <w:numPr>
          <w:ilvl w:val="0"/>
          <w:numId w:val="10"/>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Development proposals for this site must accord with </w:t>
      </w:r>
      <w:r w:rsidRPr="00EC197D">
        <w:rPr>
          <w:rFonts w:ascii="Arial" w:eastAsia="Calibri" w:hAnsi="Arial" w:cs="Arial"/>
          <w:bCs/>
          <w:color w:val="000000"/>
          <w:sz w:val="20"/>
          <w:szCs w:val="20"/>
        </w:rPr>
        <w:t>local plan policies H2, INF3 and INF6 (which set out requirements for contributions towards affordable housing, education provision and sport, open space and recreation facilities) and all other</w:t>
      </w:r>
      <w:r w:rsidRPr="00EC197D">
        <w:rPr>
          <w:rFonts w:ascii="Arial" w:eastAsia="Calibri" w:hAnsi="Arial" w:cs="Arial"/>
          <w:color w:val="000000"/>
          <w:sz w:val="20"/>
          <w:szCs w:val="20"/>
        </w:rPr>
        <w:t xml:space="preserve"> relevant local plan policies.</w:t>
      </w:r>
    </w:p>
    <w:p w:rsidR="00C3146D" w:rsidRPr="00C3146D" w:rsidRDefault="00C3146D" w:rsidP="00764ECF"/>
    <w:sectPr w:rsidR="00C3146D" w:rsidRPr="00C3146D"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20A" w:rsidRDefault="000D020A" w:rsidP="00FC3903">
      <w:pPr>
        <w:spacing w:after="0" w:line="240" w:lineRule="auto"/>
      </w:pPr>
      <w:r>
        <w:separator/>
      </w:r>
    </w:p>
  </w:endnote>
  <w:endnote w:type="continuationSeparator" w:id="0">
    <w:p w:rsidR="000D020A" w:rsidRDefault="000D020A"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13332F">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20A" w:rsidRDefault="000D020A" w:rsidP="00FC3903">
      <w:pPr>
        <w:spacing w:after="0" w:line="240" w:lineRule="auto"/>
      </w:pPr>
      <w:r>
        <w:separator/>
      </w:r>
    </w:p>
  </w:footnote>
  <w:footnote w:type="continuationSeparator" w:id="0">
    <w:p w:rsidR="000D020A" w:rsidRDefault="000D020A"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B7B4F"/>
    <w:multiLevelType w:val="hybridMultilevel"/>
    <w:tmpl w:val="B94C1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52535C"/>
    <w:multiLevelType w:val="hybridMultilevel"/>
    <w:tmpl w:val="5510D20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6D65583"/>
    <w:multiLevelType w:val="hybridMultilevel"/>
    <w:tmpl w:val="ABAC9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9"/>
  </w:num>
  <w:num w:numId="5">
    <w:abstractNumId w:val="8"/>
  </w:num>
  <w:num w:numId="6">
    <w:abstractNumId w:val="3"/>
  </w:num>
  <w:num w:numId="7">
    <w:abstractNumId w:val="6"/>
  </w:num>
  <w:num w:numId="8">
    <w:abstractNumId w:val="2"/>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B27AD"/>
    <w:rsid w:val="000D020A"/>
    <w:rsid w:val="000F30F7"/>
    <w:rsid w:val="0013332F"/>
    <w:rsid w:val="001C7B36"/>
    <w:rsid w:val="00252DA0"/>
    <w:rsid w:val="002C0460"/>
    <w:rsid w:val="0047425C"/>
    <w:rsid w:val="00486081"/>
    <w:rsid w:val="005010B7"/>
    <w:rsid w:val="00502134"/>
    <w:rsid w:val="0053462A"/>
    <w:rsid w:val="00664307"/>
    <w:rsid w:val="006A0E5C"/>
    <w:rsid w:val="00725AE9"/>
    <w:rsid w:val="00764ECF"/>
    <w:rsid w:val="00776515"/>
    <w:rsid w:val="007C4CD1"/>
    <w:rsid w:val="00834C80"/>
    <w:rsid w:val="00875F56"/>
    <w:rsid w:val="0097511E"/>
    <w:rsid w:val="00A248B9"/>
    <w:rsid w:val="00A6168D"/>
    <w:rsid w:val="00AB4CCB"/>
    <w:rsid w:val="00AF40B8"/>
    <w:rsid w:val="00B11693"/>
    <w:rsid w:val="00B21C52"/>
    <w:rsid w:val="00C1109B"/>
    <w:rsid w:val="00C3146D"/>
    <w:rsid w:val="00C7200F"/>
    <w:rsid w:val="00CD432F"/>
    <w:rsid w:val="00E22A10"/>
    <w:rsid w:val="00E67360"/>
    <w:rsid w:val="00F2287F"/>
    <w:rsid w:val="00F62E2A"/>
    <w:rsid w:val="00F85A12"/>
    <w:rsid w:val="00FB5FE1"/>
    <w:rsid w:val="00FC3903"/>
    <w:rsid w:val="00FD7D81"/>
    <w:rsid w:val="00FE75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841225">
      <w:bodyDiv w:val="1"/>
      <w:marLeft w:val="0"/>
      <w:marRight w:val="0"/>
      <w:marTop w:val="0"/>
      <w:marBottom w:val="0"/>
      <w:divBdr>
        <w:top w:val="none" w:sz="0" w:space="0" w:color="auto"/>
        <w:left w:val="none" w:sz="0" w:space="0" w:color="auto"/>
        <w:bottom w:val="none" w:sz="0" w:space="0" w:color="auto"/>
        <w:right w:val="none" w:sz="0" w:space="0" w:color="auto"/>
      </w:divBdr>
    </w:div>
    <w:div w:id="210849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7BB89-DFED-4290-81BF-7DE920278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20</cp:revision>
  <dcterms:created xsi:type="dcterms:W3CDTF">2017-03-06T13:46:00Z</dcterms:created>
  <dcterms:modified xsi:type="dcterms:W3CDTF">2019-11-07T14:59:00Z</dcterms:modified>
</cp:coreProperties>
</file>